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7E" w:rsidRDefault="002C127E" w:rsidP="002C127E">
      <w:pPr>
        <w:tabs>
          <w:tab w:val="clear" w:pos="288"/>
          <w:tab w:val="clear" w:pos="576"/>
          <w:tab w:val="clear" w:pos="864"/>
        </w:tabs>
        <w:autoSpaceDE w:val="0"/>
        <w:autoSpaceDN w:val="0"/>
        <w:adjustRightInd w:val="0"/>
        <w:ind w:left="0"/>
        <w:jc w:val="center"/>
        <w:rPr>
          <w:rFonts w:ascii="Arial" w:hAnsi="Arial" w:cs="Arial"/>
          <w:b/>
          <w:bCs/>
          <w:szCs w:val="22"/>
          <w:lang w:val="en-CA" w:eastAsia="en-CA"/>
        </w:rPr>
      </w:pPr>
      <w:r>
        <w:rPr>
          <w:rFonts w:ascii="Arial" w:hAnsi="Arial" w:cs="Arial"/>
          <w:b/>
          <w:bCs/>
          <w:szCs w:val="22"/>
          <w:lang w:val="en-CA" w:eastAsia="en-CA"/>
        </w:rPr>
        <w:t>SPECIAL PROVISIONS APPENDIX</w:t>
      </w:r>
    </w:p>
    <w:p w:rsidR="002C127E" w:rsidRDefault="002C127E" w:rsidP="002C127E">
      <w:pPr>
        <w:tabs>
          <w:tab w:val="clear" w:pos="288"/>
          <w:tab w:val="clear" w:pos="576"/>
          <w:tab w:val="clear" w:pos="864"/>
        </w:tabs>
        <w:autoSpaceDE w:val="0"/>
        <w:autoSpaceDN w:val="0"/>
        <w:adjustRightInd w:val="0"/>
        <w:ind w:left="0"/>
        <w:jc w:val="center"/>
        <w:rPr>
          <w:rFonts w:ascii="Arial" w:hAnsi="Arial" w:cs="Arial"/>
          <w:b/>
          <w:bCs/>
          <w:szCs w:val="22"/>
          <w:lang w:val="en-CA" w:eastAsia="en-CA"/>
        </w:rPr>
      </w:pPr>
      <w:r>
        <w:rPr>
          <w:rFonts w:ascii="Arial" w:hAnsi="Arial" w:cs="Arial"/>
          <w:b/>
          <w:bCs/>
          <w:szCs w:val="22"/>
          <w:lang w:val="en-CA" w:eastAsia="en-CA"/>
        </w:rPr>
        <w:t>FOR AMENDMENTS TO THE 20</w:t>
      </w:r>
      <w:r w:rsidR="00EB6A71">
        <w:rPr>
          <w:rFonts w:ascii="Arial" w:hAnsi="Arial" w:cs="Arial"/>
          <w:b/>
          <w:bCs/>
          <w:szCs w:val="22"/>
          <w:lang w:val="en-CA" w:eastAsia="en-CA"/>
        </w:rPr>
        <w:t>12</w:t>
      </w:r>
      <w:r>
        <w:rPr>
          <w:rFonts w:ascii="Arial" w:hAnsi="Arial" w:cs="Arial"/>
          <w:b/>
          <w:bCs/>
          <w:szCs w:val="22"/>
          <w:lang w:val="en-CA" w:eastAsia="en-CA"/>
        </w:rPr>
        <w:t xml:space="preserve"> STANDARD SPECIFICATIONS</w:t>
      </w:r>
    </w:p>
    <w:p w:rsidR="002C127E" w:rsidRDefault="002C127E" w:rsidP="002C127E">
      <w:pPr>
        <w:tabs>
          <w:tab w:val="clear" w:pos="288"/>
          <w:tab w:val="clear" w:pos="576"/>
          <w:tab w:val="clear" w:pos="864"/>
        </w:tabs>
        <w:autoSpaceDE w:val="0"/>
        <w:autoSpaceDN w:val="0"/>
        <w:adjustRightInd w:val="0"/>
        <w:ind w:left="0"/>
        <w:jc w:val="center"/>
        <w:rPr>
          <w:rFonts w:ascii="Arial" w:hAnsi="Arial" w:cs="Arial"/>
          <w:b/>
          <w:bCs/>
          <w:szCs w:val="22"/>
          <w:lang w:val="en-CA" w:eastAsia="en-CA"/>
        </w:rPr>
      </w:pPr>
      <w:r>
        <w:rPr>
          <w:rFonts w:ascii="Arial" w:hAnsi="Arial" w:cs="Arial"/>
          <w:b/>
          <w:bCs/>
          <w:szCs w:val="22"/>
          <w:lang w:val="en-CA" w:eastAsia="en-CA"/>
        </w:rPr>
        <w:t>FOR HIGHWAY CONSTRUCTION</w:t>
      </w:r>
    </w:p>
    <w:p w:rsidR="002C127E" w:rsidRDefault="002C127E" w:rsidP="002C127E">
      <w:pPr>
        <w:tabs>
          <w:tab w:val="clear" w:pos="288"/>
          <w:tab w:val="clear" w:pos="576"/>
          <w:tab w:val="clear" w:pos="864"/>
        </w:tabs>
        <w:autoSpaceDE w:val="0"/>
        <w:autoSpaceDN w:val="0"/>
        <w:adjustRightInd w:val="0"/>
        <w:ind w:left="0"/>
        <w:jc w:val="center"/>
        <w:rPr>
          <w:rFonts w:ascii="Arial" w:hAnsi="Arial" w:cs="Arial"/>
          <w:b/>
          <w:bCs/>
          <w:szCs w:val="22"/>
          <w:lang w:val="en-CA" w:eastAsia="en-CA"/>
        </w:rPr>
      </w:pPr>
    </w:p>
    <w:p w:rsidR="002C127E" w:rsidRDefault="002C127E" w:rsidP="002C127E">
      <w:pPr>
        <w:jc w:val="both"/>
        <w:rPr>
          <w:rFonts w:ascii="Arial" w:hAnsi="Arial" w:cs="Arial"/>
          <w:szCs w:val="22"/>
          <w:lang w:val="en-CA" w:eastAsia="en-CA"/>
        </w:rPr>
      </w:pPr>
    </w:p>
    <w:p w:rsidR="002C127E" w:rsidRDefault="002C127E" w:rsidP="00332EE8">
      <w:pPr>
        <w:tabs>
          <w:tab w:val="clear" w:pos="288"/>
          <w:tab w:val="left" w:pos="142"/>
        </w:tabs>
        <w:ind w:left="0"/>
        <w:jc w:val="both"/>
        <w:rPr>
          <w:rFonts w:ascii="Arial" w:hAnsi="Arial" w:cs="Arial"/>
          <w:szCs w:val="22"/>
          <w:lang w:val="en-CA" w:eastAsia="en-CA"/>
        </w:rPr>
      </w:pPr>
      <w:r>
        <w:rPr>
          <w:rFonts w:ascii="Arial" w:hAnsi="Arial" w:cs="Arial"/>
          <w:szCs w:val="22"/>
          <w:lang w:val="en-CA" w:eastAsia="en-CA"/>
        </w:rPr>
        <w:t>The Amendments to the 20</w:t>
      </w:r>
      <w:r w:rsidR="00EB6A71">
        <w:rPr>
          <w:rFonts w:ascii="Arial" w:hAnsi="Arial" w:cs="Arial"/>
          <w:szCs w:val="22"/>
          <w:lang w:val="en-CA" w:eastAsia="en-CA"/>
        </w:rPr>
        <w:t>12</w:t>
      </w:r>
      <w:r>
        <w:rPr>
          <w:rFonts w:ascii="Arial" w:hAnsi="Arial" w:cs="Arial"/>
          <w:szCs w:val="22"/>
          <w:lang w:val="en-CA" w:eastAsia="en-CA"/>
        </w:rPr>
        <w:t xml:space="preserve"> Standard Specifications for Highway Construction are as follows:</w:t>
      </w:r>
    </w:p>
    <w:p w:rsidR="00332EE8" w:rsidRDefault="00332EE8" w:rsidP="002C127E">
      <w:pPr>
        <w:tabs>
          <w:tab w:val="clear" w:pos="288"/>
          <w:tab w:val="clear" w:pos="576"/>
          <w:tab w:val="clear" w:pos="864"/>
        </w:tabs>
        <w:autoSpaceDE w:val="0"/>
        <w:autoSpaceDN w:val="0"/>
        <w:adjustRightInd w:val="0"/>
        <w:ind w:left="0"/>
        <w:rPr>
          <w:rFonts w:ascii="Arial" w:hAnsi="Arial" w:cs="Arial"/>
          <w:b/>
          <w:bCs/>
          <w:szCs w:val="22"/>
          <w:lang w:val="en-CA" w:eastAsia="en-CA"/>
        </w:rPr>
      </w:pPr>
    </w:p>
    <w:p w:rsidR="00357C63" w:rsidRPr="004209C3" w:rsidRDefault="00357C63" w:rsidP="004209C3">
      <w:pPr>
        <w:tabs>
          <w:tab w:val="clear" w:pos="288"/>
          <w:tab w:val="clear" w:pos="576"/>
          <w:tab w:val="clear" w:pos="864"/>
        </w:tabs>
        <w:autoSpaceDE w:val="0"/>
        <w:autoSpaceDN w:val="0"/>
        <w:adjustRightInd w:val="0"/>
        <w:ind w:left="0"/>
        <w:rPr>
          <w:rFonts w:ascii="Arial" w:hAnsi="Arial" w:cs="Arial"/>
          <w:b/>
          <w:bCs/>
          <w:szCs w:val="22"/>
          <w:lang w:val="en-CA" w:eastAsia="en-CA"/>
        </w:rPr>
      </w:pPr>
      <w:bookmarkStart w:id="0" w:name="_Toc12430013"/>
      <w:bookmarkStart w:id="1" w:name="_Toc55282555"/>
      <w:r>
        <w:rPr>
          <w:rFonts w:ascii="Arial" w:hAnsi="Arial" w:cs="Arial"/>
          <w:b/>
          <w:bCs/>
          <w:szCs w:val="22"/>
          <w:lang w:val="en-CA" w:eastAsia="en-CA"/>
        </w:rPr>
        <w:t xml:space="preserve">SECTION </w:t>
      </w:r>
      <w:r w:rsidR="00256869">
        <w:rPr>
          <w:rFonts w:ascii="Arial" w:hAnsi="Arial" w:cs="Arial"/>
          <w:b/>
          <w:bCs/>
          <w:szCs w:val="22"/>
          <w:lang w:val="en-CA" w:eastAsia="en-CA"/>
        </w:rPr>
        <w:t>101</w:t>
      </w:r>
      <w:r>
        <w:rPr>
          <w:rFonts w:ascii="Arial" w:hAnsi="Arial" w:cs="Arial"/>
          <w:b/>
          <w:bCs/>
          <w:szCs w:val="22"/>
          <w:lang w:val="en-CA" w:eastAsia="en-CA"/>
        </w:rPr>
        <w:t xml:space="preserve"> – </w:t>
      </w:r>
      <w:r w:rsidR="00256869">
        <w:rPr>
          <w:rFonts w:ascii="Arial" w:hAnsi="Arial" w:cs="Arial"/>
          <w:b/>
          <w:bCs/>
          <w:szCs w:val="22"/>
          <w:lang w:val="en-CA" w:eastAsia="en-CA"/>
        </w:rPr>
        <w:t>Quality Management</w:t>
      </w:r>
    </w:p>
    <w:p w:rsidR="00357C63" w:rsidRDefault="00357C63" w:rsidP="004415FA">
      <w:pPr>
        <w:pStyle w:val="Default"/>
        <w:jc w:val="both"/>
        <w:rPr>
          <w:b/>
        </w:rPr>
      </w:pPr>
      <w:r w:rsidRPr="004415FA">
        <w:rPr>
          <w:b/>
        </w:rPr>
        <w:t xml:space="preserve">Issued Date: </w:t>
      </w:r>
      <w:r w:rsidR="004209C3">
        <w:rPr>
          <w:b/>
        </w:rPr>
        <w:t>Dec 20</w:t>
      </w:r>
      <w:r w:rsidR="004209C3" w:rsidRPr="004209C3">
        <w:rPr>
          <w:b/>
          <w:vertAlign w:val="superscript"/>
        </w:rPr>
        <w:t>th</w:t>
      </w:r>
      <w:r w:rsidR="004209C3">
        <w:rPr>
          <w:b/>
        </w:rPr>
        <w:t>, 2011</w:t>
      </w:r>
    </w:p>
    <w:p w:rsidR="004209C3" w:rsidRPr="004415FA" w:rsidRDefault="004209C3" w:rsidP="004415FA">
      <w:pPr>
        <w:pStyle w:val="Default"/>
        <w:jc w:val="both"/>
        <w:rPr>
          <w:b/>
        </w:rPr>
      </w:pP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7F1B39">
        <w:rPr>
          <w:b/>
          <w:color w:val="000000"/>
          <w:sz w:val="24"/>
          <w:szCs w:val="24"/>
          <w:lang w:val="en-CA" w:eastAsia="en-CA"/>
        </w:rPr>
        <w:t>101.07 Payment</w:t>
      </w:r>
      <w:bookmarkEnd w:id="0"/>
      <w:bookmarkEnd w:id="1"/>
      <w:r w:rsidRPr="00357C63">
        <w:rPr>
          <w:color w:val="000000"/>
          <w:sz w:val="24"/>
          <w:szCs w:val="24"/>
          <w:lang w:val="en-CA" w:eastAsia="en-CA"/>
        </w:rPr>
        <w:t xml:space="preserve"> – The Lump Sum Price bid for Quality Management shall be full compensation for all costs resulting from the Quality Management requirements set out in the Contract.</w:t>
      </w: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357C63">
        <w:rPr>
          <w:color w:val="000000"/>
          <w:sz w:val="24"/>
          <w:szCs w:val="24"/>
          <w:lang w:val="en-CA" w:eastAsia="en-CA"/>
        </w:rPr>
        <w:t>Payment will be made on a monthly basis prorated for the percentage of the total Work completed as determined by the Ministry Representative, subject to the Contractor being totally compliant with the requirements of this Section and with its own Quality Control Plan.</w:t>
      </w: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357C63">
        <w:rPr>
          <w:color w:val="000000"/>
          <w:sz w:val="24"/>
          <w:szCs w:val="24"/>
          <w:lang w:val="en-CA" w:eastAsia="en-CA"/>
        </w:rPr>
        <w:t xml:space="preserve">The Ministry Representative </w:t>
      </w:r>
      <w:r w:rsidRPr="00256869">
        <w:rPr>
          <w:color w:val="000000"/>
          <w:sz w:val="24"/>
          <w:szCs w:val="24"/>
          <w:u w:val="single"/>
          <w:lang w:val="en-CA" w:eastAsia="en-CA"/>
        </w:rPr>
        <w:t xml:space="preserve">in consultation with the Ministry Construction Manager following the issuance of an external NCR </w:t>
      </w:r>
      <w:r w:rsidRPr="00357C63">
        <w:rPr>
          <w:color w:val="000000"/>
          <w:sz w:val="24"/>
          <w:szCs w:val="24"/>
          <w:lang w:val="en-CA" w:eastAsia="en-CA"/>
        </w:rPr>
        <w:t>may deduct an amount from any monthly payment so computed, for any quality management work required but not satisfactorily undertaken during that month.  The Ministry Representative may also reduce the total Lump Sum payable by the value of any quality management work required but not satisfactorily undertaken during the Term of the Contract.  The foregoing determinations will be made in the sole discretion of the Ministry Representative.</w:t>
      </w: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357C63">
        <w:rPr>
          <w:color w:val="000000"/>
          <w:sz w:val="24"/>
          <w:szCs w:val="24"/>
          <w:lang w:val="en-CA" w:eastAsia="en-CA"/>
        </w:rPr>
        <w:t>Inspection or testing by the Ministry Representative will be at the Ministry’s cost.  However, re-inspection or re-testing by the Ministry for repaired or replaced Work items that originally did not meet contract requirements shall be at the Contractor’s cost.</w:t>
      </w: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357C63">
        <w:rPr>
          <w:color w:val="000000"/>
          <w:sz w:val="24"/>
          <w:szCs w:val="24"/>
          <w:lang w:val="en-CA" w:eastAsia="en-CA"/>
        </w:rPr>
        <w:t>Work that is deemed unacceptable in accordance with SS 101.01 will not be eligible for payment from the applicable Item for that Work.</w:t>
      </w:r>
    </w:p>
    <w:p w:rsidR="00357C63" w:rsidRPr="00357C63" w:rsidRDefault="00357C63" w:rsidP="00357C63">
      <w:pPr>
        <w:tabs>
          <w:tab w:val="clear" w:pos="288"/>
          <w:tab w:val="clear" w:pos="576"/>
          <w:tab w:val="clear" w:pos="864"/>
        </w:tabs>
        <w:spacing w:after="120"/>
        <w:ind w:left="0"/>
        <w:jc w:val="both"/>
        <w:rPr>
          <w:color w:val="000000"/>
          <w:sz w:val="24"/>
          <w:szCs w:val="24"/>
          <w:lang w:val="en-CA" w:eastAsia="en-CA"/>
        </w:rPr>
      </w:pPr>
      <w:r w:rsidRPr="00357C63">
        <w:rPr>
          <w:color w:val="000000"/>
          <w:sz w:val="24"/>
          <w:szCs w:val="24"/>
          <w:lang w:val="en-CA" w:eastAsia="en-CA"/>
        </w:rPr>
        <w:t>The Completion Certificate will not be issued if there are any unresolved Non-Conformance Reports.</w:t>
      </w:r>
    </w:p>
    <w:p w:rsidR="007F1B39" w:rsidRDefault="007F1B39" w:rsidP="007F1B39">
      <w:pPr>
        <w:tabs>
          <w:tab w:val="clear" w:pos="288"/>
          <w:tab w:val="clear" w:pos="576"/>
          <w:tab w:val="clear" w:pos="864"/>
        </w:tabs>
        <w:autoSpaceDE w:val="0"/>
        <w:autoSpaceDN w:val="0"/>
        <w:adjustRightInd w:val="0"/>
        <w:ind w:left="0"/>
        <w:rPr>
          <w:rFonts w:ascii="Arial" w:hAnsi="Arial" w:cs="Arial"/>
          <w:b/>
          <w:bCs/>
          <w:szCs w:val="22"/>
          <w:lang w:val="en-CA" w:eastAsia="en-CA"/>
        </w:rPr>
      </w:pPr>
    </w:p>
    <w:p w:rsidR="007F1B39" w:rsidRPr="007F1B39" w:rsidRDefault="007F1B39" w:rsidP="007F1B39">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 xml:space="preserve">SECTION 145 – </w:t>
      </w:r>
      <w:r w:rsidRPr="007F1B39">
        <w:rPr>
          <w:rFonts w:ascii="Arial" w:hAnsi="Arial" w:cs="Arial"/>
          <w:b/>
          <w:bCs/>
          <w:szCs w:val="22"/>
          <w:lang w:val="en-CA" w:eastAsia="en-CA"/>
        </w:rPr>
        <w:t>GENERAL REQUIREMENTS FOR</w:t>
      </w:r>
      <w:r>
        <w:rPr>
          <w:rFonts w:ascii="Arial" w:hAnsi="Arial" w:cs="Arial"/>
          <w:b/>
          <w:bCs/>
          <w:szCs w:val="22"/>
          <w:lang w:val="en-CA" w:eastAsia="en-CA"/>
        </w:rPr>
        <w:t xml:space="preserve"> </w:t>
      </w:r>
      <w:r w:rsidRPr="007F1B39">
        <w:rPr>
          <w:rFonts w:ascii="Arial" w:hAnsi="Arial" w:cs="Arial"/>
          <w:b/>
          <w:bCs/>
          <w:szCs w:val="22"/>
          <w:lang w:val="en-CA" w:eastAsia="en-CA"/>
        </w:rPr>
        <w:t>HIGHWAY, BRIDGE AND MARINE CONSTRUCTION</w:t>
      </w:r>
    </w:p>
    <w:p w:rsidR="007F1B39" w:rsidRDefault="007F1B39" w:rsidP="007F1B39">
      <w:pPr>
        <w:ind w:left="0"/>
        <w:jc w:val="both"/>
        <w:rPr>
          <w:rFonts w:ascii="Arial" w:hAnsi="Arial" w:cs="Arial"/>
          <w:szCs w:val="22"/>
          <w:lang w:val="en-CA" w:eastAsia="en-CA"/>
        </w:rPr>
      </w:pPr>
    </w:p>
    <w:p w:rsidR="004209C3" w:rsidRPr="004415FA" w:rsidRDefault="004209C3" w:rsidP="004209C3">
      <w:pPr>
        <w:pStyle w:val="Default"/>
        <w:jc w:val="both"/>
        <w:rPr>
          <w:b/>
        </w:rPr>
      </w:pPr>
      <w:r w:rsidRPr="004415FA">
        <w:rPr>
          <w:b/>
        </w:rPr>
        <w:t xml:space="preserve">Issued Date: </w:t>
      </w:r>
      <w:r>
        <w:rPr>
          <w:b/>
        </w:rPr>
        <w:t>Dec 20</w:t>
      </w:r>
      <w:r w:rsidRPr="004209C3">
        <w:rPr>
          <w:b/>
          <w:vertAlign w:val="superscript"/>
        </w:rPr>
        <w:t>th</w:t>
      </w:r>
      <w:r>
        <w:rPr>
          <w:b/>
        </w:rPr>
        <w:t>, 2011</w:t>
      </w:r>
    </w:p>
    <w:p w:rsidR="00357C63" w:rsidRDefault="00357C63" w:rsidP="002C127E">
      <w:pPr>
        <w:tabs>
          <w:tab w:val="clear" w:pos="288"/>
          <w:tab w:val="clear" w:pos="576"/>
          <w:tab w:val="clear" w:pos="864"/>
        </w:tabs>
        <w:autoSpaceDE w:val="0"/>
        <w:autoSpaceDN w:val="0"/>
        <w:adjustRightInd w:val="0"/>
        <w:ind w:left="0"/>
        <w:rPr>
          <w:rFonts w:ascii="Arial" w:hAnsi="Arial" w:cs="Arial"/>
          <w:b/>
          <w:bCs/>
          <w:szCs w:val="22"/>
          <w:lang w:val="en-CA" w:eastAsia="en-CA"/>
        </w:rPr>
      </w:pPr>
    </w:p>
    <w:p w:rsidR="0092408C" w:rsidRDefault="007F1B39" w:rsidP="007F1B39">
      <w:pPr>
        <w:tabs>
          <w:tab w:val="clear" w:pos="288"/>
          <w:tab w:val="left" w:pos="0"/>
        </w:tabs>
        <w:spacing w:after="100" w:afterAutospacing="1"/>
        <w:ind w:left="0"/>
        <w:jc w:val="both"/>
        <w:rPr>
          <w:color w:val="000000"/>
        </w:rPr>
      </w:pPr>
      <w:r w:rsidRPr="001C7911">
        <w:rPr>
          <w:b/>
          <w:color w:val="000000"/>
        </w:rPr>
        <w:t>145.24 Alterations to Drawings and Plans</w:t>
      </w:r>
      <w:r>
        <w:rPr>
          <w:b/>
          <w:color w:val="000000"/>
        </w:rPr>
        <w:t xml:space="preserve"> – </w:t>
      </w:r>
      <w:r w:rsidRPr="001C7911">
        <w:rPr>
          <w:color w:val="000000"/>
        </w:rPr>
        <w:t xml:space="preserve">It shall be understood that the Drawings and Plans represent the nature and general layout of the work to be executed and not necessarily the works exactly as they will be carried out.  The Ministry Representative will, without invalidating the Contract, be at liberty to make </w:t>
      </w:r>
      <w:r w:rsidRPr="007F1B39">
        <w:rPr>
          <w:color w:val="000000"/>
          <w:u w:val="single"/>
        </w:rPr>
        <w:t>reasonable alterations</w:t>
      </w:r>
      <w:r w:rsidRPr="001C7911">
        <w:rPr>
          <w:color w:val="000000"/>
        </w:rPr>
        <w:t xml:space="preserve"> or to furnish any additional or amended Drawings which do not </w:t>
      </w:r>
      <w:r w:rsidRPr="007F1B39">
        <w:rPr>
          <w:color w:val="000000"/>
          <w:u w:val="single"/>
        </w:rPr>
        <w:t xml:space="preserve">materially </w:t>
      </w:r>
      <w:r w:rsidRPr="001C7911">
        <w:rPr>
          <w:color w:val="000000"/>
        </w:rPr>
        <w:t>change the type of construction.</w:t>
      </w:r>
    </w:p>
    <w:p w:rsidR="00357C63" w:rsidRDefault="007F1B39" w:rsidP="007F1B39">
      <w:pPr>
        <w:tabs>
          <w:tab w:val="clear" w:pos="288"/>
          <w:tab w:val="left" w:pos="0"/>
        </w:tabs>
        <w:spacing w:after="100" w:afterAutospacing="1"/>
        <w:ind w:left="0"/>
        <w:jc w:val="both"/>
        <w:rPr>
          <w:color w:val="000000"/>
        </w:rPr>
      </w:pPr>
      <w:r w:rsidRPr="001C7911">
        <w:rPr>
          <w:color w:val="000000"/>
        </w:rPr>
        <w:t>Payment for any such altered Work will be at the rates set forth in the Schedule 7 Approximate Quantities and Unit Prices.</w:t>
      </w:r>
    </w:p>
    <w:p w:rsidR="0092408C" w:rsidRDefault="0092408C" w:rsidP="00026BD1">
      <w:pPr>
        <w:tabs>
          <w:tab w:val="clear" w:pos="288"/>
          <w:tab w:val="clear" w:pos="576"/>
          <w:tab w:val="clear" w:pos="864"/>
        </w:tabs>
        <w:autoSpaceDE w:val="0"/>
        <w:autoSpaceDN w:val="0"/>
        <w:adjustRightInd w:val="0"/>
        <w:ind w:left="0"/>
        <w:rPr>
          <w:rFonts w:ascii="Arial" w:hAnsi="Arial" w:cs="Arial"/>
          <w:b/>
          <w:bCs/>
          <w:szCs w:val="22"/>
          <w:lang w:val="en-CA" w:eastAsia="en-CA"/>
        </w:rPr>
      </w:pPr>
    </w:p>
    <w:p w:rsidR="0092408C" w:rsidRDefault="0092408C" w:rsidP="00026BD1">
      <w:pPr>
        <w:tabs>
          <w:tab w:val="clear" w:pos="288"/>
          <w:tab w:val="clear" w:pos="576"/>
          <w:tab w:val="clear" w:pos="864"/>
        </w:tabs>
        <w:autoSpaceDE w:val="0"/>
        <w:autoSpaceDN w:val="0"/>
        <w:adjustRightInd w:val="0"/>
        <w:ind w:left="0"/>
        <w:rPr>
          <w:rFonts w:ascii="Arial" w:hAnsi="Arial" w:cs="Arial"/>
          <w:b/>
          <w:bCs/>
          <w:szCs w:val="22"/>
          <w:lang w:val="en-CA" w:eastAsia="en-CA"/>
        </w:rPr>
      </w:pPr>
    </w:p>
    <w:p w:rsidR="00026BD1" w:rsidRPr="007F1B39" w:rsidRDefault="00026BD1" w:rsidP="00026BD1">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lastRenderedPageBreak/>
        <w:t xml:space="preserve">SECTION 201 – </w:t>
      </w:r>
      <w:r w:rsidRPr="00026BD1">
        <w:rPr>
          <w:rFonts w:ascii="Arial" w:hAnsi="Arial" w:cs="Arial"/>
          <w:b/>
          <w:bCs/>
          <w:szCs w:val="22"/>
          <w:lang w:val="en-CA" w:eastAsia="en-CA"/>
        </w:rPr>
        <w:t>ROADWAY AND DRAINAGE EXCAVATION</w:t>
      </w:r>
    </w:p>
    <w:p w:rsidR="004209C3" w:rsidRPr="004415FA" w:rsidRDefault="004209C3" w:rsidP="004209C3">
      <w:pPr>
        <w:pStyle w:val="Default"/>
        <w:jc w:val="both"/>
        <w:rPr>
          <w:b/>
        </w:rPr>
      </w:pPr>
      <w:r w:rsidRPr="004415FA">
        <w:rPr>
          <w:b/>
        </w:rPr>
        <w:t xml:space="preserve">Issued Date: </w:t>
      </w:r>
      <w:r>
        <w:rPr>
          <w:b/>
        </w:rPr>
        <w:t>Dec 20</w:t>
      </w:r>
      <w:r w:rsidRPr="004209C3">
        <w:rPr>
          <w:b/>
          <w:vertAlign w:val="superscript"/>
        </w:rPr>
        <w:t>th</w:t>
      </w:r>
      <w:r>
        <w:rPr>
          <w:b/>
        </w:rPr>
        <w:t>, 2011</w:t>
      </w:r>
    </w:p>
    <w:p w:rsidR="00DF479E" w:rsidRPr="00DF479E" w:rsidRDefault="00DF479E" w:rsidP="00DF479E">
      <w:pPr>
        <w:widowControl w:val="0"/>
        <w:spacing w:after="100" w:afterAutospacing="1"/>
        <w:ind w:left="0"/>
        <w:jc w:val="both"/>
        <w:rPr>
          <w:color w:val="000000"/>
        </w:rPr>
      </w:pPr>
      <w:r w:rsidRPr="00DF479E">
        <w:rPr>
          <w:b/>
          <w:color w:val="000000"/>
        </w:rPr>
        <w:t>201.33 Overbreak in Solid Rock</w:t>
      </w:r>
      <w:r w:rsidRPr="00DF479E">
        <w:rPr>
          <w:color w:val="000000"/>
        </w:rPr>
        <w:t xml:space="preserve"> - Overbreak in solid rock excavation encountered in the contract is that portion of any such material which is excavated, displaced or loosened outside and beyond the slopes or grades as staked or re-established (with the exception of slides as described in Subsection 201.42).</w:t>
      </w:r>
    </w:p>
    <w:p w:rsidR="00DF479E" w:rsidRPr="00DF479E" w:rsidRDefault="00DF479E" w:rsidP="00DF479E">
      <w:pPr>
        <w:widowControl w:val="0"/>
        <w:spacing w:after="100" w:afterAutospacing="1"/>
        <w:ind w:left="0"/>
        <w:jc w:val="both"/>
        <w:rPr>
          <w:color w:val="000000"/>
          <w:u w:val="single"/>
        </w:rPr>
      </w:pPr>
      <w:r w:rsidRPr="00DF479E">
        <w:rPr>
          <w:color w:val="000000"/>
          <w:u w:val="single"/>
        </w:rPr>
        <w:t xml:space="preserve">Any overbreak that occurs due to the inherent character of any formation encountered, as determined by the Ministry Representative in consultation with the Qualified Professional will be classified as allowable overbreak as described in subsection 201.33.01. </w:t>
      </w:r>
    </w:p>
    <w:p w:rsidR="00DF479E" w:rsidRPr="00DF479E" w:rsidRDefault="00DF479E" w:rsidP="00DF479E">
      <w:pPr>
        <w:widowControl w:val="0"/>
        <w:spacing w:after="100" w:afterAutospacing="1"/>
        <w:ind w:left="0"/>
        <w:jc w:val="both"/>
        <w:rPr>
          <w:color w:val="000000"/>
        </w:rPr>
      </w:pPr>
      <w:r w:rsidRPr="00DF479E">
        <w:rPr>
          <w:color w:val="000000"/>
        </w:rPr>
        <w:t xml:space="preserve">All </w:t>
      </w:r>
      <w:r w:rsidRPr="00DF479E">
        <w:rPr>
          <w:color w:val="000000"/>
          <w:u w:val="single"/>
        </w:rPr>
        <w:t>other</w:t>
      </w:r>
      <w:r w:rsidRPr="00DF479E">
        <w:rPr>
          <w:color w:val="000000"/>
        </w:rPr>
        <w:t xml:space="preserve"> overbreak, as so defined, shall be removed by the Contractor at the Contractor’s expense, and shall be disposed of by the Contractor, in the same manner as provided for “Surplus Material”, but at the Contractor’s expense without any allowance for overhaul, except as hereinafter stated.</w:t>
      </w:r>
    </w:p>
    <w:p w:rsidR="00DF479E" w:rsidRPr="00DF479E" w:rsidRDefault="00DF479E" w:rsidP="00DF479E">
      <w:pPr>
        <w:widowControl w:val="0"/>
        <w:spacing w:after="100" w:afterAutospacing="1"/>
        <w:ind w:left="0"/>
        <w:jc w:val="both"/>
        <w:rPr>
          <w:color w:val="000000"/>
          <w:u w:val="single"/>
        </w:rPr>
      </w:pPr>
      <w:r w:rsidRPr="00DF479E">
        <w:rPr>
          <w:color w:val="000000"/>
          <w:u w:val="single"/>
        </w:rPr>
        <w:t xml:space="preserve">The Qualified Professional is defined as the Ministry’s Geotechnical Engineer, Rockwork Engineer, or consultant engineer working for the Ministry whose discipline is in geotechnical engineering.  </w:t>
      </w:r>
    </w:p>
    <w:p w:rsidR="00DF479E" w:rsidRPr="00327CB3" w:rsidRDefault="00DF479E" w:rsidP="00DF479E">
      <w:pPr>
        <w:widowControl w:val="0"/>
        <w:spacing w:after="100" w:afterAutospacing="1"/>
        <w:ind w:left="0"/>
        <w:jc w:val="both"/>
        <w:rPr>
          <w:color w:val="000000"/>
        </w:rPr>
      </w:pPr>
      <w:r w:rsidRPr="00DF479E">
        <w:rPr>
          <w:b/>
          <w:color w:val="000000"/>
        </w:rPr>
        <w:t>201.33.02 Contractor’s Negligence</w:t>
      </w:r>
      <w:r w:rsidRPr="00DF479E">
        <w:rPr>
          <w:color w:val="000000"/>
        </w:rPr>
        <w:t xml:space="preserve"> – Overbreak resulting </w:t>
      </w:r>
      <w:r w:rsidRPr="00327CB3">
        <w:rPr>
          <w:color w:val="000000"/>
        </w:rPr>
        <w:t>from fault or negligence of the Contractor shall be removed and disposed of, as directed by the Ministry Representative, at no cost to the Ministry.</w:t>
      </w:r>
    </w:p>
    <w:p w:rsidR="00DF479E" w:rsidRDefault="00DF479E" w:rsidP="00DF479E">
      <w:pPr>
        <w:widowControl w:val="0"/>
        <w:spacing w:after="100" w:afterAutospacing="1"/>
        <w:ind w:left="0"/>
        <w:jc w:val="both"/>
        <w:rPr>
          <w:color w:val="000000"/>
        </w:rPr>
      </w:pPr>
      <w:r>
        <w:rPr>
          <w:color w:val="000000"/>
        </w:rPr>
        <w:t xml:space="preserve">Definition of negligence will be deemed to </w:t>
      </w:r>
      <w:r w:rsidRPr="00DF479E">
        <w:rPr>
          <w:color w:val="000000"/>
          <w:u w:val="single"/>
        </w:rPr>
        <w:t>be lack of following the sequence of operations, lack of a blast design, lack of preblast survey, and lack of as-built blast design as described in 204.04.06, 204.04.07, and 204.04.08 and 204.04.09. Also, definition of negligence</w:t>
      </w:r>
      <w:r w:rsidRPr="00DF479E">
        <w:rPr>
          <w:color w:val="000000"/>
        </w:rPr>
        <w:t xml:space="preserve"> </w:t>
      </w:r>
      <w:r w:rsidRPr="00327CB3">
        <w:rPr>
          <w:color w:val="000000"/>
        </w:rPr>
        <w:t>will be deemed to mean lack</w:t>
      </w:r>
      <w:r w:rsidRPr="00D0333C">
        <w:rPr>
          <w:color w:val="000000"/>
        </w:rPr>
        <w:t xml:space="preserve"> of cut-off holes on the back slope, excessive spacing of drill holes and overloading of same.</w:t>
      </w:r>
    </w:p>
    <w:p w:rsidR="00A805E1" w:rsidRPr="004209C3" w:rsidRDefault="00A805E1" w:rsidP="00A805E1">
      <w:pPr>
        <w:tabs>
          <w:tab w:val="clear" w:pos="288"/>
          <w:tab w:val="clear" w:pos="576"/>
          <w:tab w:val="clear" w:pos="864"/>
        </w:tabs>
        <w:autoSpaceDE w:val="0"/>
        <w:autoSpaceDN w:val="0"/>
        <w:adjustRightInd w:val="0"/>
        <w:ind w:left="0"/>
        <w:rPr>
          <w:rFonts w:ascii="Arial" w:hAnsi="Arial" w:cs="Arial"/>
          <w:b/>
          <w:bCs/>
          <w:color w:val="000000"/>
          <w:szCs w:val="22"/>
          <w:lang w:val="en-CA" w:eastAsia="en-CA"/>
        </w:rPr>
      </w:pPr>
      <w:r w:rsidRPr="00A805E1">
        <w:rPr>
          <w:rFonts w:ascii="Arial" w:hAnsi="Arial" w:cs="Arial"/>
          <w:b/>
          <w:bCs/>
          <w:color w:val="000000"/>
          <w:szCs w:val="22"/>
          <w:lang w:val="en-CA" w:eastAsia="en-CA"/>
        </w:rPr>
        <w:t xml:space="preserve">SECTION 202 – Granular Surfacing, Base and SUB-BASES </w:t>
      </w:r>
    </w:p>
    <w:p w:rsidR="00A805E1" w:rsidRPr="004415FA" w:rsidRDefault="00A805E1" w:rsidP="004415FA">
      <w:pPr>
        <w:pStyle w:val="Default"/>
        <w:jc w:val="both"/>
        <w:rPr>
          <w:b/>
        </w:rPr>
      </w:pPr>
      <w:r w:rsidRPr="004415FA">
        <w:rPr>
          <w:b/>
        </w:rPr>
        <w:t xml:space="preserve">Issued Date: Dec 1, 2011 </w:t>
      </w:r>
    </w:p>
    <w:p w:rsidR="00A805E1" w:rsidRPr="00A805E1" w:rsidRDefault="00A805E1" w:rsidP="00A805E1">
      <w:pPr>
        <w:tabs>
          <w:tab w:val="clear" w:pos="288"/>
          <w:tab w:val="clear" w:pos="576"/>
          <w:tab w:val="clear" w:pos="864"/>
        </w:tabs>
        <w:autoSpaceDE w:val="0"/>
        <w:autoSpaceDN w:val="0"/>
        <w:adjustRightInd w:val="0"/>
        <w:spacing w:after="120"/>
        <w:ind w:left="0"/>
        <w:jc w:val="both"/>
        <w:rPr>
          <w:b/>
          <w:bCs/>
          <w:color w:val="000000"/>
          <w:sz w:val="23"/>
          <w:szCs w:val="23"/>
          <w:lang w:val="en-CA" w:eastAsia="en-CA"/>
        </w:rPr>
      </w:pPr>
      <w:proofErr w:type="gramStart"/>
      <w:r w:rsidRPr="00A805E1">
        <w:rPr>
          <w:b/>
          <w:bCs/>
          <w:color w:val="000000"/>
          <w:sz w:val="23"/>
          <w:szCs w:val="23"/>
          <w:lang w:val="en-CA" w:eastAsia="en-CA"/>
        </w:rPr>
        <w:t>Table 202-C Aggregate Gradations.</w:t>
      </w:r>
      <w:proofErr w:type="gramEnd"/>
      <w:r w:rsidRPr="00A805E1">
        <w:rPr>
          <w:b/>
          <w:bCs/>
          <w:color w:val="000000"/>
          <w:sz w:val="23"/>
          <w:szCs w:val="23"/>
          <w:lang w:val="en-CA" w:eastAsia="en-CA"/>
        </w:rPr>
        <w:t xml:space="preserve"> </w:t>
      </w:r>
    </w:p>
    <w:p w:rsidR="00A805E1" w:rsidRPr="00D0333C" w:rsidRDefault="00A805E1" w:rsidP="00DF479E">
      <w:pPr>
        <w:widowControl w:val="0"/>
        <w:spacing w:after="100" w:afterAutospacing="1"/>
        <w:ind w:left="0"/>
        <w:jc w:val="both"/>
        <w:rPr>
          <w:color w:val="000000"/>
        </w:rPr>
      </w:pPr>
      <w:r w:rsidRPr="00A805E1">
        <w:rPr>
          <w:color w:val="000000"/>
          <w:sz w:val="23"/>
          <w:szCs w:val="23"/>
          <w:lang w:val="en-CA" w:eastAsia="en-CA"/>
        </w:rPr>
        <w:t>Table 202-C was revised for both the Intermediate Graded base (IGB) and the Intermediate Graded Sub-base (IGSB) % Passing the 0.075mm Sieve to 0-5% rather than 0-15%. Also for the Open Graded Sub-base (OGSB) % Passing 50mm Sieve to 70-100% instead of 75-100%.</w:t>
      </w:r>
    </w:p>
    <w:p w:rsidR="00D135A5" w:rsidRPr="007F1B39" w:rsidRDefault="00D135A5" w:rsidP="00D135A5">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 xml:space="preserve">SECTION 204 – </w:t>
      </w:r>
      <w:r w:rsidRPr="00026BD1">
        <w:rPr>
          <w:rFonts w:ascii="Arial" w:hAnsi="Arial" w:cs="Arial"/>
          <w:b/>
          <w:bCs/>
          <w:szCs w:val="22"/>
          <w:lang w:val="en-CA" w:eastAsia="en-CA"/>
        </w:rPr>
        <w:t>RO</w:t>
      </w:r>
      <w:r>
        <w:rPr>
          <w:rFonts w:ascii="Arial" w:hAnsi="Arial" w:cs="Arial"/>
          <w:b/>
          <w:bCs/>
          <w:szCs w:val="22"/>
          <w:lang w:val="en-CA" w:eastAsia="en-CA"/>
        </w:rPr>
        <w:t>CK CUTS</w:t>
      </w:r>
    </w:p>
    <w:p w:rsidR="004209C3" w:rsidRPr="004415FA" w:rsidRDefault="004209C3" w:rsidP="004209C3">
      <w:pPr>
        <w:pStyle w:val="Default"/>
        <w:jc w:val="both"/>
        <w:rPr>
          <w:b/>
        </w:rPr>
      </w:pPr>
      <w:r w:rsidRPr="004415FA">
        <w:rPr>
          <w:b/>
        </w:rPr>
        <w:t xml:space="preserve">Issued Date: </w:t>
      </w:r>
      <w:r>
        <w:rPr>
          <w:b/>
        </w:rPr>
        <w:t>Dec 20</w:t>
      </w:r>
      <w:r w:rsidRPr="004209C3">
        <w:rPr>
          <w:b/>
          <w:vertAlign w:val="superscript"/>
        </w:rPr>
        <w:t>th</w:t>
      </w:r>
      <w:r>
        <w:rPr>
          <w:b/>
        </w:rPr>
        <w:t>, 2011</w:t>
      </w:r>
    </w:p>
    <w:p w:rsidR="00740FE9" w:rsidRDefault="00740FE9" w:rsidP="002C127E">
      <w:pPr>
        <w:tabs>
          <w:tab w:val="clear" w:pos="288"/>
          <w:tab w:val="clear" w:pos="576"/>
          <w:tab w:val="clear" w:pos="864"/>
        </w:tabs>
        <w:autoSpaceDE w:val="0"/>
        <w:autoSpaceDN w:val="0"/>
        <w:adjustRightInd w:val="0"/>
        <w:ind w:left="0"/>
        <w:rPr>
          <w:rFonts w:ascii="Arial" w:hAnsi="Arial" w:cs="Arial"/>
          <w:b/>
          <w:bCs/>
          <w:szCs w:val="22"/>
          <w:lang w:val="en-CA" w:eastAsia="en-CA"/>
        </w:rPr>
      </w:pPr>
    </w:p>
    <w:p w:rsidR="00127DAD" w:rsidRDefault="00D135A5" w:rsidP="004209C3">
      <w:pPr>
        <w:widowControl w:val="0"/>
        <w:tabs>
          <w:tab w:val="clear" w:pos="288"/>
          <w:tab w:val="left" w:pos="0"/>
        </w:tabs>
        <w:spacing w:after="100" w:afterAutospacing="1"/>
        <w:ind w:left="0"/>
        <w:jc w:val="both"/>
        <w:rPr>
          <w:color w:val="000000"/>
          <w:u w:val="single"/>
        </w:rPr>
      </w:pPr>
      <w:r w:rsidRPr="00D135A5">
        <w:rPr>
          <w:b/>
          <w:color w:val="000000"/>
        </w:rPr>
        <w:t xml:space="preserve">204.03.03 </w:t>
      </w:r>
      <w:r w:rsidRPr="00127DAD">
        <w:rPr>
          <w:color w:val="000000"/>
          <w:u w:val="single"/>
        </w:rPr>
        <w:t>Blast Vibration Monitoring</w:t>
      </w:r>
      <w:r w:rsidRPr="00D135A5">
        <w:rPr>
          <w:color w:val="000000"/>
        </w:rPr>
        <w:t xml:space="preserve"> – The Contractor shall </w:t>
      </w:r>
      <w:r w:rsidRPr="00D135A5">
        <w:rPr>
          <w:color w:val="000000"/>
          <w:u w:val="single"/>
        </w:rPr>
        <w:t>provide a blast vibration monitor</w:t>
      </w:r>
      <w:r w:rsidRPr="00D135A5">
        <w:rPr>
          <w:color w:val="000000"/>
        </w:rPr>
        <w:t xml:space="preserve"> if required.  </w:t>
      </w:r>
      <w:r w:rsidRPr="00D135A5">
        <w:rPr>
          <w:color w:val="000000"/>
          <w:u w:val="single"/>
        </w:rPr>
        <w:t>The blast vibration monitoring shall be under the direction of the Vibration Specialist.</w:t>
      </w:r>
    </w:p>
    <w:p w:rsidR="00191B63" w:rsidRPr="007F1B39" w:rsidRDefault="00191B63" w:rsidP="00191B63">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SECTION 205 – RIPRAP</w:t>
      </w:r>
    </w:p>
    <w:p w:rsidR="00191B63" w:rsidRPr="004415FA" w:rsidRDefault="00191B63" w:rsidP="00191B63">
      <w:pPr>
        <w:pStyle w:val="Default"/>
        <w:jc w:val="both"/>
        <w:rPr>
          <w:b/>
        </w:rPr>
      </w:pPr>
      <w:r w:rsidRPr="004415FA">
        <w:rPr>
          <w:b/>
        </w:rPr>
        <w:t xml:space="preserve">Issued Date: </w:t>
      </w:r>
      <w:r>
        <w:rPr>
          <w:b/>
        </w:rPr>
        <w:t>April 11th, 2012</w:t>
      </w:r>
    </w:p>
    <w:p w:rsidR="00191B63" w:rsidRDefault="00191B63" w:rsidP="00191B63">
      <w:pPr>
        <w:tabs>
          <w:tab w:val="clear" w:pos="288"/>
          <w:tab w:val="clear" w:pos="576"/>
          <w:tab w:val="clear" w:pos="864"/>
        </w:tabs>
        <w:autoSpaceDE w:val="0"/>
        <w:autoSpaceDN w:val="0"/>
        <w:adjustRightInd w:val="0"/>
        <w:ind w:left="0"/>
        <w:rPr>
          <w:rFonts w:ascii="Arial" w:hAnsi="Arial" w:cs="Arial"/>
          <w:b/>
          <w:bCs/>
          <w:szCs w:val="22"/>
          <w:lang w:val="en-CA" w:eastAsia="en-CA"/>
        </w:rPr>
      </w:pPr>
    </w:p>
    <w:p w:rsidR="00191B63" w:rsidRDefault="00191B63" w:rsidP="00191B63">
      <w:pPr>
        <w:widowControl w:val="0"/>
        <w:tabs>
          <w:tab w:val="clear" w:pos="288"/>
          <w:tab w:val="left" w:pos="0"/>
        </w:tabs>
        <w:spacing w:after="100" w:afterAutospacing="1"/>
        <w:ind w:left="0"/>
        <w:jc w:val="both"/>
        <w:rPr>
          <w:color w:val="000000"/>
        </w:rPr>
      </w:pPr>
      <w:r>
        <w:rPr>
          <w:b/>
          <w:color w:val="000000"/>
        </w:rPr>
        <w:t>Table 205-C</w:t>
      </w:r>
      <w:r w:rsidRPr="00D135A5">
        <w:rPr>
          <w:b/>
          <w:color w:val="000000"/>
        </w:rPr>
        <w:t xml:space="preserve"> </w:t>
      </w:r>
      <w:r>
        <w:rPr>
          <w:color w:val="000000"/>
        </w:rPr>
        <w:t>RECOMMENDED TESTS FOR RIPRAP</w:t>
      </w:r>
    </w:p>
    <w:p w:rsidR="00191B63" w:rsidRDefault="00191B63" w:rsidP="00191B63">
      <w:pPr>
        <w:widowControl w:val="0"/>
        <w:tabs>
          <w:tab w:val="clear" w:pos="288"/>
          <w:tab w:val="left" w:pos="0"/>
        </w:tabs>
        <w:spacing w:after="100" w:afterAutospacing="1"/>
        <w:ind w:left="0"/>
        <w:jc w:val="both"/>
        <w:rPr>
          <w:color w:val="000000"/>
        </w:rPr>
      </w:pPr>
      <w:r>
        <w:rPr>
          <w:color w:val="000000"/>
        </w:rPr>
        <w:t xml:space="preserve">For property (Specific Gravity and Absorption); Test Designation is corrected to be </w:t>
      </w:r>
      <w:r w:rsidRPr="00B5145D">
        <w:rPr>
          <w:color w:val="000000"/>
          <w:u w:val="single"/>
        </w:rPr>
        <w:t>ASTM D6473</w:t>
      </w:r>
      <w:r>
        <w:rPr>
          <w:color w:val="000000"/>
        </w:rPr>
        <w:t xml:space="preserve"> instead of ASTM D6437 for both Specific gravity and Absorption. </w:t>
      </w:r>
    </w:p>
    <w:p w:rsidR="001D5DB0" w:rsidRPr="007F1B39" w:rsidRDefault="001D5DB0" w:rsidP="001D5DB0">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SECTION 412 – CONCRETE REINFORCEMENT</w:t>
      </w:r>
    </w:p>
    <w:p w:rsidR="0092408C" w:rsidRDefault="0092408C" w:rsidP="001D5DB0">
      <w:pPr>
        <w:pStyle w:val="Default"/>
        <w:jc w:val="both"/>
        <w:rPr>
          <w:b/>
        </w:rPr>
      </w:pPr>
      <w:r>
        <w:rPr>
          <w:b/>
        </w:rPr>
        <w:t>Issued Date:</w:t>
      </w:r>
      <w:r w:rsidRPr="0092408C">
        <w:rPr>
          <w:b/>
        </w:rPr>
        <w:t xml:space="preserve"> </w:t>
      </w:r>
      <w:r>
        <w:rPr>
          <w:b/>
        </w:rPr>
        <w:t>July 16th, 2012</w:t>
      </w:r>
    </w:p>
    <w:p w:rsidR="0092408C" w:rsidRDefault="0092408C" w:rsidP="0092408C">
      <w:pPr>
        <w:widowControl w:val="0"/>
        <w:tabs>
          <w:tab w:val="clear" w:pos="288"/>
          <w:tab w:val="left" w:pos="0"/>
        </w:tabs>
        <w:spacing w:after="100" w:afterAutospacing="1"/>
        <w:ind w:left="0"/>
        <w:jc w:val="both"/>
        <w:rPr>
          <w:color w:val="000000"/>
        </w:rPr>
      </w:pPr>
      <w:r>
        <w:rPr>
          <w:color w:val="000000"/>
        </w:rPr>
        <w:t xml:space="preserve">SS412.11.02 Epoxy-Coated Reinforcing Steel is amended. </w:t>
      </w:r>
    </w:p>
    <w:p w:rsidR="001D5DB0" w:rsidRPr="004415FA" w:rsidRDefault="001D5DB0" w:rsidP="001D5DB0">
      <w:pPr>
        <w:pStyle w:val="Default"/>
        <w:jc w:val="both"/>
        <w:rPr>
          <w:b/>
        </w:rPr>
      </w:pPr>
      <w:r w:rsidRPr="004415FA">
        <w:rPr>
          <w:b/>
        </w:rPr>
        <w:lastRenderedPageBreak/>
        <w:t xml:space="preserve">Issued Date: </w:t>
      </w:r>
      <w:r>
        <w:rPr>
          <w:b/>
        </w:rPr>
        <w:t>July 16th, 2012</w:t>
      </w:r>
    </w:p>
    <w:p w:rsidR="001D5DB0" w:rsidRDefault="001D5DB0" w:rsidP="00191B63">
      <w:pPr>
        <w:widowControl w:val="0"/>
        <w:tabs>
          <w:tab w:val="clear" w:pos="288"/>
          <w:tab w:val="left" w:pos="0"/>
        </w:tabs>
        <w:spacing w:after="100" w:afterAutospacing="1"/>
        <w:ind w:left="0"/>
        <w:jc w:val="both"/>
        <w:rPr>
          <w:color w:val="000000"/>
        </w:rPr>
      </w:pPr>
      <w:r>
        <w:rPr>
          <w:color w:val="000000"/>
        </w:rPr>
        <w:t xml:space="preserve">SS412.11.05 Stainless Steel Reinforcing Bar is amended. </w:t>
      </w:r>
    </w:p>
    <w:p w:rsidR="00127DAD" w:rsidRDefault="00127DAD" w:rsidP="00127DAD">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 xml:space="preserve">SECTION 415 – </w:t>
      </w:r>
      <w:r w:rsidRPr="00127DAD">
        <w:rPr>
          <w:rFonts w:ascii="Arial" w:hAnsi="Arial" w:cs="Arial"/>
          <w:b/>
          <w:bCs/>
          <w:szCs w:val="22"/>
          <w:lang w:val="en-CA" w:eastAsia="en-CA"/>
        </w:rPr>
        <w:t>MANUFACTURE AND ERECTION OF PRECAST AND PRECAST PRESTRESSED CONCRETE MEMBERS</w:t>
      </w:r>
    </w:p>
    <w:p w:rsidR="004209C3" w:rsidRPr="004415FA" w:rsidRDefault="004209C3" w:rsidP="004209C3">
      <w:pPr>
        <w:pStyle w:val="Default"/>
        <w:jc w:val="both"/>
        <w:rPr>
          <w:b/>
        </w:rPr>
      </w:pPr>
      <w:r w:rsidRPr="004415FA">
        <w:rPr>
          <w:b/>
        </w:rPr>
        <w:t xml:space="preserve">Issued Date: </w:t>
      </w:r>
      <w:r>
        <w:rPr>
          <w:b/>
        </w:rPr>
        <w:t>Dec 20</w:t>
      </w:r>
      <w:r w:rsidRPr="004209C3">
        <w:rPr>
          <w:b/>
          <w:vertAlign w:val="superscript"/>
        </w:rPr>
        <w:t>th</w:t>
      </w:r>
      <w:r>
        <w:rPr>
          <w:b/>
        </w:rPr>
        <w:t>, 2011</w:t>
      </w:r>
    </w:p>
    <w:p w:rsidR="00127DAD" w:rsidRDefault="00127DAD" w:rsidP="00127DAD">
      <w:pPr>
        <w:tabs>
          <w:tab w:val="clear" w:pos="288"/>
          <w:tab w:val="clear" w:pos="576"/>
          <w:tab w:val="clear" w:pos="864"/>
        </w:tabs>
        <w:autoSpaceDE w:val="0"/>
        <w:autoSpaceDN w:val="0"/>
        <w:adjustRightInd w:val="0"/>
        <w:ind w:left="0"/>
        <w:rPr>
          <w:rFonts w:ascii="Arial" w:hAnsi="Arial" w:cs="Arial"/>
          <w:b/>
          <w:bCs/>
          <w:szCs w:val="22"/>
          <w:lang w:val="en-CA" w:eastAsia="en-CA"/>
        </w:rPr>
      </w:pPr>
    </w:p>
    <w:p w:rsidR="00127DAD" w:rsidRPr="00D135A5" w:rsidRDefault="00127DAD" w:rsidP="00127DAD">
      <w:pPr>
        <w:widowControl w:val="0"/>
        <w:tabs>
          <w:tab w:val="clear" w:pos="288"/>
          <w:tab w:val="left" w:pos="0"/>
        </w:tabs>
        <w:spacing w:after="100" w:afterAutospacing="1"/>
        <w:ind w:left="0"/>
        <w:jc w:val="both"/>
        <w:rPr>
          <w:color w:val="000000"/>
        </w:rPr>
      </w:pPr>
      <w:r w:rsidRPr="00127DAD">
        <w:rPr>
          <w:b/>
          <w:color w:val="000000"/>
        </w:rPr>
        <w:t>415.02.03</w:t>
      </w:r>
      <w:r w:rsidRPr="00127DAD">
        <w:rPr>
          <w:color w:val="000000"/>
        </w:rPr>
        <w:t xml:space="preserve"> Materials and construction shall conform to the current CSA A23.4 and the current PCI “Manual for Quality Control for Plants and Production of Precast and Prestressed Concrete Products ".  Where there is a discrepancy between the requirements of these two standards, the more stringent shall apply.  In cases where it may be unclear as to which standard is more stringent, the Ministry Representative </w:t>
      </w:r>
      <w:r w:rsidRPr="00127DAD">
        <w:rPr>
          <w:color w:val="000000"/>
          <w:u w:val="single"/>
        </w:rPr>
        <w:t>in consultation with the Ministry Chief Bridge Engineer</w:t>
      </w:r>
      <w:r w:rsidRPr="00127DAD">
        <w:rPr>
          <w:color w:val="000000"/>
        </w:rPr>
        <w:t xml:space="preserve"> will have the final say.</w:t>
      </w:r>
    </w:p>
    <w:p w:rsidR="00127DAD" w:rsidRDefault="00127DAD" w:rsidP="00127DAD">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SECTION 502 – ASPHALT PAVEMENT CONSTRUCTION (EPS)</w:t>
      </w:r>
    </w:p>
    <w:p w:rsidR="00127DAD" w:rsidRPr="004415FA" w:rsidRDefault="00127DAD" w:rsidP="004415FA">
      <w:pPr>
        <w:pStyle w:val="Default"/>
        <w:jc w:val="both"/>
        <w:rPr>
          <w:b/>
        </w:rPr>
      </w:pPr>
      <w:r w:rsidRPr="004415FA">
        <w:rPr>
          <w:b/>
        </w:rPr>
        <w:t>Issued Date: Nov 1, 2011</w:t>
      </w:r>
    </w:p>
    <w:p w:rsidR="00127DAD" w:rsidRDefault="00127DAD" w:rsidP="00127DAD">
      <w:pPr>
        <w:jc w:val="both"/>
        <w:rPr>
          <w:rFonts w:ascii="Arial" w:hAnsi="Arial" w:cs="Arial"/>
          <w:szCs w:val="22"/>
          <w:lang w:val="en-CA" w:eastAsia="en-CA"/>
        </w:rPr>
      </w:pPr>
    </w:p>
    <w:p w:rsidR="00127DAD" w:rsidRDefault="00127DAD" w:rsidP="00127DAD">
      <w:pPr>
        <w:pStyle w:val="Default"/>
        <w:jc w:val="both"/>
      </w:pPr>
      <w:r>
        <w:t xml:space="preserve">Table 502-H (Page 21 of 32) – Payment Adjustments for Material Application Rate at Actual Application Rate (Percent as specified rate) at </w:t>
      </w:r>
      <w:r w:rsidRPr="002C127E">
        <w:t>≥ 94.0 to</w:t>
      </w:r>
      <w:r>
        <w:t xml:space="preserve"> </w:t>
      </w:r>
      <w:r w:rsidRPr="002C127E">
        <w:t>&lt;</w:t>
      </w:r>
      <w:r>
        <w:t xml:space="preserve"> 96.0, the bottom lift or single lift payment adjustment $ per tonne of material in the Lot (unless otherwise noted) is -$2.00 not </w:t>
      </w:r>
    </w:p>
    <w:p w:rsidR="00127DAD" w:rsidRDefault="00127DAD" w:rsidP="00127DAD">
      <w:pPr>
        <w:pStyle w:val="Default"/>
        <w:jc w:val="both"/>
      </w:pPr>
      <w:r>
        <w:t>-$12.00.</w:t>
      </w:r>
    </w:p>
    <w:p w:rsidR="00127DAD" w:rsidRDefault="00127DAD" w:rsidP="00127DAD">
      <w:pPr>
        <w:pStyle w:val="Default"/>
        <w:jc w:val="both"/>
      </w:pPr>
    </w:p>
    <w:p w:rsidR="00127DAD" w:rsidRPr="00A805E1" w:rsidRDefault="00127DAD" w:rsidP="00127DAD">
      <w:pPr>
        <w:pStyle w:val="Default"/>
        <w:jc w:val="both"/>
        <w:rPr>
          <w:b/>
        </w:rPr>
      </w:pPr>
      <w:r w:rsidRPr="00A805E1">
        <w:rPr>
          <w:b/>
        </w:rPr>
        <w:t>Issued Date: Nov 1, 2011,</w:t>
      </w:r>
    </w:p>
    <w:p w:rsidR="00127DAD" w:rsidRDefault="00127DAD" w:rsidP="00127DAD">
      <w:pPr>
        <w:pStyle w:val="Default"/>
        <w:jc w:val="both"/>
      </w:pPr>
      <w:r>
        <w:t xml:space="preserve">Table 502-H (Page 21 of 32) – Payment Adjustments for Material Application Rate at Actual Application Rate (Percent as specified rate) at </w:t>
      </w:r>
      <w:r w:rsidRPr="002C127E">
        <w:t xml:space="preserve">≥ </w:t>
      </w:r>
      <w:r>
        <w:t>10</w:t>
      </w:r>
      <w:r w:rsidRPr="002C127E">
        <w:t>4.0 to</w:t>
      </w:r>
      <w:r>
        <w:t xml:space="preserve"> </w:t>
      </w:r>
      <w:r w:rsidRPr="002C127E">
        <w:t>&lt;</w:t>
      </w:r>
      <w:r>
        <w:t xml:space="preserve"> 105.0, the bottom lift or single lift payment adjustment $ per tonne of material in the Lot (unless otherwise noted) is -$1.00 not </w:t>
      </w:r>
    </w:p>
    <w:p w:rsidR="00235111" w:rsidRDefault="00127DAD" w:rsidP="00EB6A71">
      <w:pPr>
        <w:pStyle w:val="Default"/>
        <w:jc w:val="both"/>
      </w:pPr>
      <w:proofErr w:type="gramStart"/>
      <w:r>
        <w:t>$1.00.</w:t>
      </w:r>
      <w:proofErr w:type="gramEnd"/>
    </w:p>
    <w:p w:rsidR="001D5DB0" w:rsidRDefault="001D5DB0" w:rsidP="00EB6A71">
      <w:pPr>
        <w:pStyle w:val="Default"/>
        <w:jc w:val="both"/>
      </w:pPr>
    </w:p>
    <w:p w:rsidR="001D5DB0" w:rsidRDefault="001D5DB0" w:rsidP="001D5DB0">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SECTION 582 – CONCRETE CURB AND GUTTER AND STORM DRAINAGE</w:t>
      </w:r>
    </w:p>
    <w:p w:rsidR="001D5DB0" w:rsidRPr="004415FA" w:rsidRDefault="001D5DB0" w:rsidP="001D5DB0">
      <w:pPr>
        <w:pStyle w:val="Default"/>
        <w:jc w:val="both"/>
        <w:rPr>
          <w:b/>
        </w:rPr>
      </w:pPr>
      <w:r w:rsidRPr="004415FA">
        <w:rPr>
          <w:b/>
        </w:rPr>
        <w:t xml:space="preserve">Issued Date: </w:t>
      </w:r>
      <w:r>
        <w:rPr>
          <w:b/>
        </w:rPr>
        <w:t>July</w:t>
      </w:r>
      <w:r w:rsidRPr="004415FA">
        <w:rPr>
          <w:b/>
        </w:rPr>
        <w:t xml:space="preserve"> 1</w:t>
      </w:r>
      <w:r>
        <w:rPr>
          <w:b/>
        </w:rPr>
        <w:t>6</w:t>
      </w:r>
      <w:r w:rsidRPr="004415FA">
        <w:rPr>
          <w:b/>
        </w:rPr>
        <w:t>, 201</w:t>
      </w:r>
      <w:r>
        <w:rPr>
          <w:b/>
        </w:rPr>
        <w:t>2</w:t>
      </w:r>
    </w:p>
    <w:p w:rsidR="001D5DB0" w:rsidRDefault="001D5DB0" w:rsidP="001D5DB0">
      <w:pPr>
        <w:jc w:val="both"/>
        <w:rPr>
          <w:rFonts w:ascii="Arial" w:hAnsi="Arial" w:cs="Arial"/>
          <w:szCs w:val="22"/>
          <w:lang w:val="en-CA" w:eastAsia="en-CA"/>
        </w:rPr>
      </w:pPr>
    </w:p>
    <w:p w:rsidR="001D5DB0" w:rsidRDefault="001D5DB0" w:rsidP="001D5DB0">
      <w:pPr>
        <w:pStyle w:val="Default"/>
        <w:jc w:val="both"/>
      </w:pPr>
      <w:r>
        <w:t>SP582-03.08 Corrugated Steel Manhole Main Smaller than Riser is added, missed from the previous update.</w:t>
      </w:r>
    </w:p>
    <w:p w:rsidR="001D5DB0" w:rsidRDefault="001D5DB0" w:rsidP="00EB6A71">
      <w:pPr>
        <w:pStyle w:val="Default"/>
        <w:jc w:val="both"/>
      </w:pPr>
    </w:p>
    <w:p w:rsidR="00904F5B" w:rsidRDefault="00904F5B" w:rsidP="00904F5B">
      <w:pPr>
        <w:tabs>
          <w:tab w:val="clear" w:pos="288"/>
          <w:tab w:val="clear" w:pos="576"/>
          <w:tab w:val="clear" w:pos="864"/>
        </w:tabs>
        <w:autoSpaceDE w:val="0"/>
        <w:autoSpaceDN w:val="0"/>
        <w:adjustRightInd w:val="0"/>
        <w:ind w:left="0"/>
        <w:rPr>
          <w:rFonts w:ascii="Arial" w:hAnsi="Arial" w:cs="Arial"/>
          <w:b/>
          <w:bCs/>
          <w:szCs w:val="22"/>
          <w:lang w:val="en-CA" w:eastAsia="en-CA"/>
        </w:rPr>
      </w:pPr>
      <w:r>
        <w:rPr>
          <w:rFonts w:ascii="Arial" w:hAnsi="Arial" w:cs="Arial"/>
          <w:b/>
          <w:bCs/>
          <w:szCs w:val="22"/>
          <w:lang w:val="en-CA" w:eastAsia="en-CA"/>
        </w:rPr>
        <w:t>SECTION 635 – ELECTRICAL AND SIGNING</w:t>
      </w:r>
    </w:p>
    <w:p w:rsidR="00904F5B" w:rsidRPr="00904F5B" w:rsidRDefault="00904F5B" w:rsidP="00904F5B">
      <w:pPr>
        <w:tabs>
          <w:tab w:val="clear" w:pos="288"/>
          <w:tab w:val="clear" w:pos="576"/>
          <w:tab w:val="clear" w:pos="864"/>
        </w:tabs>
        <w:autoSpaceDE w:val="0"/>
        <w:autoSpaceDN w:val="0"/>
        <w:adjustRightInd w:val="0"/>
        <w:ind w:left="0"/>
        <w:rPr>
          <w:rFonts w:ascii="Arial" w:hAnsi="Arial" w:cs="Arial"/>
          <w:b/>
          <w:bCs/>
          <w:szCs w:val="22"/>
          <w:lang w:val="en-CA" w:eastAsia="en-CA"/>
        </w:rPr>
      </w:pPr>
      <w:r w:rsidRPr="00904F5B">
        <w:rPr>
          <w:rFonts w:ascii="Arial" w:hAnsi="Arial" w:cs="Arial"/>
          <w:b/>
          <w:bCs/>
          <w:szCs w:val="22"/>
          <w:lang w:val="en-CA" w:eastAsia="en-CA"/>
        </w:rPr>
        <w:t>Issued Date: Feb 23, 2012</w:t>
      </w:r>
    </w:p>
    <w:p w:rsidR="00904F5B" w:rsidRDefault="00904F5B" w:rsidP="00EB6A71">
      <w:pPr>
        <w:pStyle w:val="Default"/>
        <w:jc w:val="both"/>
      </w:pPr>
    </w:p>
    <w:p w:rsidR="00904F5B" w:rsidRPr="00944C57" w:rsidRDefault="00904F5B" w:rsidP="00EB6A71">
      <w:pPr>
        <w:pStyle w:val="Default"/>
        <w:jc w:val="both"/>
      </w:pPr>
      <w:r w:rsidRPr="00944C57">
        <w:t>SP 635-1.1.27 (16-25M REINFORCING STEEL BARS) changed to (20M REINFORCING S</w:t>
      </w:r>
      <w:r w:rsidR="003028A4" w:rsidRPr="00944C57">
        <w:t>TEEL BARS ON BOTTOM) see amended</w:t>
      </w:r>
      <w:r w:rsidRPr="00944C57">
        <w:t xml:space="preserve"> drawing. </w:t>
      </w:r>
    </w:p>
    <w:sectPr w:rsidR="00904F5B" w:rsidRPr="00944C57" w:rsidSect="00076A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0D" w:rsidRDefault="0069700D" w:rsidP="001F42FA">
      <w:r>
        <w:separator/>
      </w:r>
    </w:p>
  </w:endnote>
  <w:endnote w:type="continuationSeparator" w:id="0">
    <w:p w:rsidR="0069700D" w:rsidRDefault="0069700D" w:rsidP="001F4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0D" w:rsidRPr="00295BBA" w:rsidRDefault="0069700D" w:rsidP="00127DAD">
    <w:pPr>
      <w:tabs>
        <w:tab w:val="center" w:pos="5040"/>
        <w:tab w:val="right" w:pos="10080"/>
      </w:tabs>
      <w:rPr>
        <w:rFonts w:ascii="Arial" w:hAnsi="Arial" w:cs="Arial"/>
        <w:caps/>
        <w:szCs w:val="22"/>
      </w:rPr>
    </w:pPr>
  </w:p>
  <w:p w:rsidR="0069700D" w:rsidRPr="00295BBA" w:rsidRDefault="0069700D" w:rsidP="00127DAD">
    <w:pPr>
      <w:tabs>
        <w:tab w:val="center" w:pos="5040"/>
        <w:tab w:val="right" w:pos="10080"/>
      </w:tabs>
      <w:rPr>
        <w:rFonts w:ascii="Arial" w:hAnsi="Arial" w:cs="Arial"/>
        <w:szCs w:val="22"/>
        <w:lang w:val="en-CA"/>
      </w:rPr>
    </w:pPr>
    <w:r w:rsidRPr="00295BBA">
      <w:rPr>
        <w:rFonts w:ascii="Arial" w:hAnsi="Arial" w:cs="Arial"/>
        <w:caps/>
        <w:szCs w:val="22"/>
      </w:rPr>
      <w:t>415 (</w:t>
    </w:r>
    <w:r w:rsidR="00721731" w:rsidRPr="00295BBA">
      <w:rPr>
        <w:rFonts w:ascii="Arial" w:hAnsi="Arial" w:cs="Arial"/>
        <w:caps/>
        <w:szCs w:val="22"/>
      </w:rPr>
      <w:fldChar w:fldCharType="begin"/>
    </w:r>
    <w:r w:rsidRPr="00295BBA">
      <w:rPr>
        <w:rFonts w:ascii="Arial" w:hAnsi="Arial" w:cs="Arial"/>
        <w:caps/>
        <w:szCs w:val="22"/>
      </w:rPr>
      <w:instrText xml:space="preserve"> PAGE </w:instrText>
    </w:r>
    <w:r w:rsidR="00721731" w:rsidRPr="00295BBA">
      <w:rPr>
        <w:rFonts w:ascii="Arial" w:hAnsi="Arial" w:cs="Arial"/>
        <w:caps/>
        <w:szCs w:val="22"/>
      </w:rPr>
      <w:fldChar w:fldCharType="separate"/>
    </w:r>
    <w:r>
      <w:rPr>
        <w:rFonts w:ascii="Arial" w:hAnsi="Arial" w:cs="Arial"/>
        <w:caps/>
        <w:noProof/>
        <w:szCs w:val="22"/>
      </w:rPr>
      <w:t>12</w:t>
    </w:r>
    <w:r w:rsidR="00721731" w:rsidRPr="00295BBA">
      <w:rPr>
        <w:rFonts w:ascii="Arial" w:hAnsi="Arial" w:cs="Arial"/>
        <w:caps/>
        <w:szCs w:val="22"/>
      </w:rPr>
      <w:fldChar w:fldCharType="end"/>
    </w:r>
    <w:r w:rsidRPr="00295BBA">
      <w:rPr>
        <w:rFonts w:ascii="Arial" w:hAnsi="Arial" w:cs="Arial"/>
        <w:caps/>
        <w:szCs w:val="22"/>
      </w:rPr>
      <w:t xml:space="preserve"> </w:t>
    </w:r>
    <w:r w:rsidRPr="002D179F">
      <w:rPr>
        <w:rFonts w:ascii="Arial" w:hAnsi="Arial" w:cs="Arial"/>
        <w:szCs w:val="22"/>
      </w:rPr>
      <w:t>of</w:t>
    </w:r>
    <w:r w:rsidRPr="00295BBA">
      <w:rPr>
        <w:rFonts w:ascii="Arial" w:hAnsi="Arial" w:cs="Arial"/>
        <w:caps/>
        <w:szCs w:val="22"/>
      </w:rPr>
      <w:t xml:space="preserve"> </w:t>
    </w:r>
    <w:r w:rsidR="00721731" w:rsidRPr="00295BBA">
      <w:rPr>
        <w:rFonts w:ascii="Arial" w:hAnsi="Arial" w:cs="Arial"/>
        <w:caps/>
        <w:szCs w:val="22"/>
      </w:rPr>
      <w:fldChar w:fldCharType="begin"/>
    </w:r>
    <w:r w:rsidRPr="00295BBA">
      <w:rPr>
        <w:rFonts w:ascii="Arial" w:hAnsi="Arial" w:cs="Arial"/>
        <w:caps/>
        <w:szCs w:val="22"/>
      </w:rPr>
      <w:instrText xml:space="preserve"> NUMPAGES </w:instrText>
    </w:r>
    <w:r w:rsidR="00721731" w:rsidRPr="00295BBA">
      <w:rPr>
        <w:rFonts w:ascii="Arial" w:hAnsi="Arial" w:cs="Arial"/>
        <w:caps/>
        <w:szCs w:val="22"/>
      </w:rPr>
      <w:fldChar w:fldCharType="separate"/>
    </w:r>
    <w:r>
      <w:rPr>
        <w:rFonts w:ascii="Arial" w:hAnsi="Arial" w:cs="Arial"/>
        <w:caps/>
        <w:noProof/>
        <w:szCs w:val="22"/>
      </w:rPr>
      <w:t>3</w:t>
    </w:r>
    <w:r w:rsidR="00721731" w:rsidRPr="00295BBA">
      <w:rPr>
        <w:rFonts w:ascii="Arial" w:hAnsi="Arial" w:cs="Arial"/>
        <w:caps/>
        <w:szCs w:val="22"/>
      </w:rPr>
      <w:fldChar w:fldCharType="end"/>
    </w:r>
    <w:r w:rsidRPr="00295BBA">
      <w:rPr>
        <w:rFonts w:ascii="Arial" w:hAnsi="Arial" w:cs="Arial"/>
        <w:caps/>
        <w:szCs w:val="22"/>
      </w:rPr>
      <w:t>)</w:t>
    </w:r>
    <w:r w:rsidRPr="00295BBA">
      <w:rPr>
        <w:rFonts w:ascii="Arial" w:hAnsi="Arial" w:cs="Arial"/>
        <w:caps/>
        <w:szCs w:val="22"/>
      </w:rPr>
      <w:tab/>
    </w:r>
    <w:r w:rsidRPr="00295BBA">
      <w:rPr>
        <w:rFonts w:ascii="Arial" w:hAnsi="Arial" w:cs="Arial"/>
        <w:szCs w:val="22"/>
      </w:rPr>
      <w:t>Oct</w:t>
    </w:r>
    <w:r w:rsidRPr="00295BBA">
      <w:rPr>
        <w:rFonts w:ascii="Arial" w:hAnsi="Arial" w:cs="Arial"/>
        <w:caps/>
        <w:szCs w:val="22"/>
      </w:rPr>
      <w:t>. 1, 2008</w:t>
    </w:r>
    <w:r w:rsidRPr="00295BBA">
      <w:rPr>
        <w:rFonts w:ascii="Arial" w:hAnsi="Arial" w:cs="Arial"/>
        <w:caps/>
        <w:szCs w:val="22"/>
      </w:rPr>
      <w:tab/>
    </w:r>
    <w:r w:rsidRPr="00295BBA">
      <w:rPr>
        <w:rFonts w:ascii="Arial" w:hAnsi="Arial" w:cs="Arial"/>
        <w:szCs w:val="22"/>
        <w:lang w:val="en-CA"/>
      </w:rPr>
      <w:t>BC MoT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9959"/>
      <w:docPartObj>
        <w:docPartGallery w:val="Page Numbers (Bottom of Page)"/>
        <w:docPartUnique/>
      </w:docPartObj>
    </w:sdtPr>
    <w:sdtContent>
      <w:p w:rsidR="00000E9C" w:rsidRDefault="00000E9C">
        <w:pPr>
          <w:pStyle w:val="Footer"/>
          <w:jc w:val="right"/>
        </w:pPr>
        <w:r>
          <w:fldChar w:fldCharType="begin"/>
        </w:r>
        <w:r>
          <w:instrText xml:space="preserve"> PAGE   \* MERGEFORMAT </w:instrText>
        </w:r>
        <w:r>
          <w:fldChar w:fldCharType="separate"/>
        </w:r>
        <w:r>
          <w:rPr>
            <w:noProof/>
          </w:rPr>
          <w:t>3</w:t>
        </w:r>
        <w:r>
          <w:fldChar w:fldCharType="end"/>
        </w:r>
      </w:p>
    </w:sdtContent>
  </w:sdt>
  <w:p w:rsidR="0069700D" w:rsidRPr="00295BBA" w:rsidRDefault="0069700D" w:rsidP="00127DAD">
    <w:pPr>
      <w:tabs>
        <w:tab w:val="center" w:pos="5040"/>
        <w:tab w:val="right" w:pos="10080"/>
      </w:tabs>
      <w:rPr>
        <w:rFonts w:ascii="Arial" w:hAnsi="Arial" w:cs="Arial"/>
        <w:szCs w:val="22"/>
        <w:lang w:val="en-C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0D" w:rsidRPr="00295BBA" w:rsidRDefault="0069700D" w:rsidP="00127DAD">
    <w:pPr>
      <w:tabs>
        <w:tab w:val="center" w:pos="5040"/>
        <w:tab w:val="right" w:pos="10080"/>
      </w:tabs>
      <w:rPr>
        <w:rFonts w:ascii="Arial" w:hAnsi="Arial" w:cs="Arial"/>
        <w:szCs w:val="22"/>
        <w:lang w:val="en-CA"/>
      </w:rPr>
    </w:pPr>
  </w:p>
  <w:p w:rsidR="0069700D" w:rsidRPr="00295BBA" w:rsidRDefault="0069700D" w:rsidP="00127DAD">
    <w:pPr>
      <w:tabs>
        <w:tab w:val="center" w:pos="5040"/>
        <w:tab w:val="right" w:pos="10080"/>
      </w:tabs>
      <w:rPr>
        <w:rFonts w:ascii="Arial" w:hAnsi="Arial" w:cs="Arial"/>
        <w:szCs w:val="22"/>
      </w:rPr>
    </w:pPr>
    <w:r w:rsidRPr="00295BBA">
      <w:rPr>
        <w:rFonts w:ascii="Arial" w:hAnsi="Arial" w:cs="Arial"/>
        <w:szCs w:val="22"/>
        <w:lang w:val="en-CA"/>
      </w:rPr>
      <w:t>BC MoT</w:t>
    </w:r>
    <w:r>
      <w:rPr>
        <w:rFonts w:ascii="Arial" w:hAnsi="Arial" w:cs="Arial"/>
        <w:szCs w:val="22"/>
        <w:lang w:val="en-CA"/>
      </w:rPr>
      <w:t>I</w:t>
    </w:r>
    <w:r w:rsidRPr="00295BBA">
      <w:rPr>
        <w:rFonts w:ascii="Arial" w:hAnsi="Arial" w:cs="Arial"/>
        <w:szCs w:val="22"/>
      </w:rPr>
      <w:tab/>
    </w:r>
    <w:r>
      <w:rPr>
        <w:rFonts w:ascii="Arial" w:hAnsi="Arial" w:cs="Arial"/>
        <w:szCs w:val="22"/>
      </w:rPr>
      <w:t>Oct</w:t>
    </w:r>
    <w:r w:rsidRPr="00295BBA">
      <w:rPr>
        <w:rFonts w:ascii="Arial" w:hAnsi="Arial" w:cs="Arial"/>
        <w:szCs w:val="22"/>
      </w:rPr>
      <w:t>. 1, 20</w:t>
    </w:r>
    <w:r>
      <w:rPr>
        <w:rFonts w:ascii="Arial" w:hAnsi="Arial" w:cs="Arial"/>
        <w:szCs w:val="22"/>
      </w:rPr>
      <w:t>11</w:t>
    </w:r>
    <w:r w:rsidRPr="00295BBA">
      <w:rPr>
        <w:rFonts w:ascii="Arial" w:hAnsi="Arial" w:cs="Arial"/>
        <w:szCs w:val="22"/>
      </w:rPr>
      <w:tab/>
      <w:t>415 (</w:t>
    </w:r>
    <w:r w:rsidR="00721731" w:rsidRPr="00295BBA">
      <w:rPr>
        <w:rFonts w:ascii="Arial" w:hAnsi="Arial" w:cs="Arial"/>
        <w:szCs w:val="22"/>
      </w:rPr>
      <w:fldChar w:fldCharType="begin"/>
    </w:r>
    <w:r w:rsidRPr="00295BBA">
      <w:rPr>
        <w:rFonts w:ascii="Arial" w:hAnsi="Arial" w:cs="Arial"/>
        <w:szCs w:val="22"/>
      </w:rPr>
      <w:instrText xml:space="preserve"> PAGE </w:instrText>
    </w:r>
    <w:r w:rsidR="00721731" w:rsidRPr="00295BBA">
      <w:rPr>
        <w:rFonts w:ascii="Arial" w:hAnsi="Arial" w:cs="Arial"/>
        <w:szCs w:val="22"/>
      </w:rPr>
      <w:fldChar w:fldCharType="separate"/>
    </w:r>
    <w:r>
      <w:rPr>
        <w:rFonts w:ascii="Arial" w:hAnsi="Arial" w:cs="Arial"/>
        <w:noProof/>
        <w:szCs w:val="22"/>
      </w:rPr>
      <w:t>14</w:t>
    </w:r>
    <w:r w:rsidR="00721731" w:rsidRPr="00295BBA">
      <w:rPr>
        <w:rFonts w:ascii="Arial" w:hAnsi="Arial" w:cs="Arial"/>
        <w:szCs w:val="22"/>
      </w:rPr>
      <w:fldChar w:fldCharType="end"/>
    </w:r>
    <w:r w:rsidRPr="00295BBA">
      <w:rPr>
        <w:rFonts w:ascii="Arial" w:hAnsi="Arial" w:cs="Arial"/>
        <w:szCs w:val="22"/>
      </w:rPr>
      <w:t xml:space="preserve"> of </w:t>
    </w:r>
    <w:r w:rsidR="00721731" w:rsidRPr="00295BBA">
      <w:rPr>
        <w:rFonts w:ascii="Arial" w:hAnsi="Arial" w:cs="Arial"/>
        <w:szCs w:val="22"/>
      </w:rPr>
      <w:fldChar w:fldCharType="begin"/>
    </w:r>
    <w:r w:rsidRPr="00295BBA">
      <w:rPr>
        <w:rFonts w:ascii="Arial" w:hAnsi="Arial" w:cs="Arial"/>
        <w:szCs w:val="22"/>
      </w:rPr>
      <w:instrText xml:space="preserve"> NUMPAGES </w:instrText>
    </w:r>
    <w:r w:rsidR="00721731" w:rsidRPr="00295BBA">
      <w:rPr>
        <w:rFonts w:ascii="Arial" w:hAnsi="Arial" w:cs="Arial"/>
        <w:szCs w:val="22"/>
      </w:rPr>
      <w:fldChar w:fldCharType="separate"/>
    </w:r>
    <w:r>
      <w:rPr>
        <w:rFonts w:ascii="Arial" w:hAnsi="Arial" w:cs="Arial"/>
        <w:noProof/>
        <w:szCs w:val="22"/>
      </w:rPr>
      <w:t>3</w:t>
    </w:r>
    <w:r w:rsidR="00721731" w:rsidRPr="00295BBA">
      <w:rPr>
        <w:rFonts w:ascii="Arial" w:hAnsi="Arial" w:cs="Arial"/>
        <w:szCs w:val="22"/>
      </w:rPr>
      <w:fldChar w:fldCharType="end"/>
    </w:r>
    <w:r w:rsidRPr="00295BBA">
      <w:rPr>
        <w:rFonts w:ascii="Arial" w:hAnsi="Arial" w:cs="Arial"/>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0D" w:rsidRDefault="0069700D" w:rsidP="001F42FA">
      <w:r>
        <w:separator/>
      </w:r>
    </w:p>
  </w:footnote>
  <w:footnote w:type="continuationSeparator" w:id="0">
    <w:p w:rsidR="0069700D" w:rsidRDefault="0069700D" w:rsidP="001F4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0D" w:rsidRDefault="0069700D">
    <w:pPr>
      <w:pStyle w:val="Heading5"/>
      <w:keepNext w:val="0"/>
      <w:tabs>
        <w:tab w:val="right" w:pos="10080"/>
      </w:tabs>
      <w:spacing w:after="0"/>
      <w:jc w:val="left"/>
      <w:rPr>
        <w:sz w:val="22"/>
      </w:rPr>
    </w:pPr>
    <w:r>
      <w:rPr>
        <w:sz w:val="22"/>
      </w:rPr>
      <w:t>SECTION 415</w:t>
    </w:r>
    <w:r>
      <w:rPr>
        <w:sz w:val="22"/>
      </w:rPr>
      <w:tab/>
      <w:t xml:space="preserve">MANUFACTURE AND ERECTION OF PRECAST </w:t>
    </w:r>
  </w:p>
  <w:p w:rsidR="0069700D" w:rsidRDefault="0069700D">
    <w:pPr>
      <w:pStyle w:val="Header"/>
    </w:pPr>
    <w:r>
      <w:tab/>
      <w:t>AND PRESTRESSED CONCRETE MEMBERS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0D" w:rsidRDefault="0069700D" w:rsidP="00127DAD">
    <w:pPr>
      <w:pStyle w:val="Header"/>
      <w:rPr>
        <w:lang w:val="en-CA"/>
      </w:rPr>
    </w:pPr>
    <w:r>
      <w:rPr>
        <w:lang w:val="en-CA"/>
      </w:rPr>
      <w:tab/>
    </w:r>
  </w:p>
  <w:p w:rsidR="0069700D" w:rsidRPr="003F5E89" w:rsidRDefault="0069700D">
    <w:pPr>
      <w:pStyle w:val="Header"/>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9C" w:rsidRDefault="00000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C127E"/>
    <w:rsid w:val="00000E9C"/>
    <w:rsid w:val="00026BD1"/>
    <w:rsid w:val="000515AD"/>
    <w:rsid w:val="00053D6F"/>
    <w:rsid w:val="00076AFD"/>
    <w:rsid w:val="00077BF6"/>
    <w:rsid w:val="00127DAD"/>
    <w:rsid w:val="00191B63"/>
    <w:rsid w:val="001D5DB0"/>
    <w:rsid w:val="001E372F"/>
    <w:rsid w:val="001F42FA"/>
    <w:rsid w:val="00215652"/>
    <w:rsid w:val="00216ED9"/>
    <w:rsid w:val="00235111"/>
    <w:rsid w:val="00256869"/>
    <w:rsid w:val="002865DB"/>
    <w:rsid w:val="002C127E"/>
    <w:rsid w:val="003028A4"/>
    <w:rsid w:val="00332EE8"/>
    <w:rsid w:val="00357C63"/>
    <w:rsid w:val="003D01E3"/>
    <w:rsid w:val="004209C3"/>
    <w:rsid w:val="004415FA"/>
    <w:rsid w:val="0045704F"/>
    <w:rsid w:val="004A2688"/>
    <w:rsid w:val="004A6A26"/>
    <w:rsid w:val="004D7EAB"/>
    <w:rsid w:val="004E2195"/>
    <w:rsid w:val="004F316A"/>
    <w:rsid w:val="00506FC0"/>
    <w:rsid w:val="005374FB"/>
    <w:rsid w:val="00573741"/>
    <w:rsid w:val="005F3C59"/>
    <w:rsid w:val="0069700D"/>
    <w:rsid w:val="006B4A85"/>
    <w:rsid w:val="006B6BDE"/>
    <w:rsid w:val="006C13C7"/>
    <w:rsid w:val="006F09AC"/>
    <w:rsid w:val="006F4281"/>
    <w:rsid w:val="00721731"/>
    <w:rsid w:val="00740FE9"/>
    <w:rsid w:val="007F1080"/>
    <w:rsid w:val="007F1B39"/>
    <w:rsid w:val="00897E31"/>
    <w:rsid w:val="008E4EA9"/>
    <w:rsid w:val="00904F5B"/>
    <w:rsid w:val="0092408C"/>
    <w:rsid w:val="009449BC"/>
    <w:rsid w:val="00944C57"/>
    <w:rsid w:val="009B41D2"/>
    <w:rsid w:val="00A0376F"/>
    <w:rsid w:val="00A10A81"/>
    <w:rsid w:val="00A6544A"/>
    <w:rsid w:val="00A717D3"/>
    <w:rsid w:val="00A805E1"/>
    <w:rsid w:val="00B5145D"/>
    <w:rsid w:val="00BB2CEA"/>
    <w:rsid w:val="00C012F9"/>
    <w:rsid w:val="00C07AB6"/>
    <w:rsid w:val="00C6685D"/>
    <w:rsid w:val="00D0333C"/>
    <w:rsid w:val="00D135A5"/>
    <w:rsid w:val="00D22DFE"/>
    <w:rsid w:val="00DB033B"/>
    <w:rsid w:val="00DB6B94"/>
    <w:rsid w:val="00DF479E"/>
    <w:rsid w:val="00E13637"/>
    <w:rsid w:val="00EB6A71"/>
    <w:rsid w:val="00EE12DF"/>
    <w:rsid w:val="00EF32A7"/>
    <w:rsid w:val="00F72B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DB"/>
    <w:pPr>
      <w:tabs>
        <w:tab w:val="left" w:pos="288"/>
        <w:tab w:val="left" w:pos="576"/>
        <w:tab w:val="left" w:pos="864"/>
      </w:tabs>
      <w:ind w:left="288"/>
    </w:pPr>
    <w:rPr>
      <w:sz w:val="22"/>
      <w:lang w:val="en-US" w:eastAsia="en-US"/>
    </w:rPr>
  </w:style>
  <w:style w:type="paragraph" w:styleId="Heading1">
    <w:name w:val="heading 1"/>
    <w:basedOn w:val="Normal"/>
    <w:next w:val="Normal"/>
    <w:link w:val="Heading1Char"/>
    <w:qFormat/>
    <w:rsid w:val="002865DB"/>
    <w:pPr>
      <w:keepNext/>
      <w:widowControl w:val="0"/>
      <w:ind w:left="0"/>
      <w:outlineLvl w:val="0"/>
    </w:pPr>
    <w:rPr>
      <w:rFonts w:ascii="Arial" w:hAnsi="Arial"/>
      <w:b/>
      <w:sz w:val="28"/>
    </w:rPr>
  </w:style>
  <w:style w:type="paragraph" w:styleId="Heading5">
    <w:name w:val="heading 5"/>
    <w:basedOn w:val="Normal"/>
    <w:next w:val="Normal"/>
    <w:link w:val="Heading5Char"/>
    <w:qFormat/>
    <w:rsid w:val="00127DAD"/>
    <w:pPr>
      <w:keepNext/>
      <w:tabs>
        <w:tab w:val="clear" w:pos="288"/>
        <w:tab w:val="clear" w:pos="576"/>
        <w:tab w:val="clear" w:pos="864"/>
      </w:tabs>
      <w:spacing w:after="240"/>
      <w:ind w:left="0"/>
      <w:jc w:val="center"/>
      <w:outlineLvl w:val="4"/>
    </w:pPr>
    <w:rPr>
      <w:rFonts w:ascii="Arial" w:hAnsi="Arial" w:cs="Arial"/>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5DB"/>
    <w:rPr>
      <w:rFonts w:ascii="Arial" w:hAnsi="Arial"/>
      <w:b/>
      <w:sz w:val="28"/>
      <w:lang w:val="en-US" w:eastAsia="en-US"/>
    </w:rPr>
  </w:style>
  <w:style w:type="paragraph" w:styleId="Title">
    <w:name w:val="Title"/>
    <w:basedOn w:val="Normal"/>
    <w:link w:val="TitleChar"/>
    <w:qFormat/>
    <w:rsid w:val="002865DB"/>
    <w:pPr>
      <w:widowControl w:val="0"/>
      <w:spacing w:after="240"/>
      <w:ind w:left="0"/>
      <w:jc w:val="center"/>
    </w:pPr>
    <w:rPr>
      <w:rFonts w:ascii="Arial" w:hAnsi="Arial"/>
      <w:b/>
      <w:sz w:val="24"/>
      <w:lang w:val="en-GB"/>
    </w:rPr>
  </w:style>
  <w:style w:type="character" w:customStyle="1" w:styleId="TitleChar">
    <w:name w:val="Title Char"/>
    <w:basedOn w:val="DefaultParagraphFont"/>
    <w:link w:val="Title"/>
    <w:rsid w:val="002865DB"/>
    <w:rPr>
      <w:rFonts w:ascii="Arial" w:hAnsi="Arial"/>
      <w:b/>
      <w:sz w:val="24"/>
      <w:lang w:val="en-GB" w:eastAsia="en-US"/>
    </w:rPr>
  </w:style>
  <w:style w:type="paragraph" w:customStyle="1" w:styleId="Default">
    <w:name w:val="Default"/>
    <w:rsid w:val="002C127E"/>
    <w:pPr>
      <w:autoSpaceDE w:val="0"/>
      <w:autoSpaceDN w:val="0"/>
      <w:adjustRightInd w:val="0"/>
    </w:pPr>
    <w:rPr>
      <w:color w:val="000000"/>
      <w:sz w:val="24"/>
      <w:szCs w:val="24"/>
    </w:rPr>
  </w:style>
  <w:style w:type="character" w:customStyle="1" w:styleId="Heading5Char">
    <w:name w:val="Heading 5 Char"/>
    <w:basedOn w:val="DefaultParagraphFont"/>
    <w:link w:val="Heading5"/>
    <w:rsid w:val="00127DAD"/>
    <w:rPr>
      <w:rFonts w:ascii="Arial" w:hAnsi="Arial" w:cs="Arial"/>
      <w:b/>
      <w:bCs/>
      <w:sz w:val="24"/>
      <w:szCs w:val="24"/>
      <w:lang w:val="en-US" w:eastAsia="ja-JP"/>
    </w:rPr>
  </w:style>
  <w:style w:type="paragraph" w:styleId="Footer">
    <w:name w:val="footer"/>
    <w:basedOn w:val="Normal"/>
    <w:link w:val="FooterChar"/>
    <w:uiPriority w:val="99"/>
    <w:rsid w:val="00127DAD"/>
    <w:pPr>
      <w:tabs>
        <w:tab w:val="clear" w:pos="288"/>
        <w:tab w:val="clear" w:pos="576"/>
        <w:tab w:val="clear" w:pos="864"/>
        <w:tab w:val="center" w:pos="5040"/>
        <w:tab w:val="right" w:pos="10080"/>
      </w:tabs>
      <w:ind w:left="0"/>
    </w:pPr>
    <w:rPr>
      <w:rFonts w:ascii="Arial" w:hAnsi="Arial" w:cs="Arial"/>
      <w:caps/>
      <w:szCs w:val="22"/>
      <w:lang w:eastAsia="ja-JP"/>
    </w:rPr>
  </w:style>
  <w:style w:type="character" w:customStyle="1" w:styleId="FooterChar">
    <w:name w:val="Footer Char"/>
    <w:basedOn w:val="DefaultParagraphFont"/>
    <w:link w:val="Footer"/>
    <w:uiPriority w:val="99"/>
    <w:rsid w:val="00127DAD"/>
    <w:rPr>
      <w:rFonts w:ascii="Arial" w:hAnsi="Arial" w:cs="Arial"/>
      <w:caps/>
      <w:sz w:val="22"/>
      <w:szCs w:val="22"/>
      <w:lang w:val="en-US" w:eastAsia="ja-JP"/>
    </w:rPr>
  </w:style>
  <w:style w:type="paragraph" w:styleId="Header">
    <w:name w:val="header"/>
    <w:basedOn w:val="Normal"/>
    <w:link w:val="HeaderChar"/>
    <w:rsid w:val="00127DAD"/>
    <w:pPr>
      <w:tabs>
        <w:tab w:val="clear" w:pos="288"/>
        <w:tab w:val="clear" w:pos="576"/>
        <w:tab w:val="clear" w:pos="864"/>
        <w:tab w:val="right" w:pos="10080"/>
      </w:tabs>
      <w:ind w:left="0"/>
    </w:pPr>
    <w:rPr>
      <w:rFonts w:ascii="Arial" w:hAnsi="Arial" w:cs="Arial"/>
      <w:b/>
      <w:bCs/>
      <w:caps/>
      <w:szCs w:val="22"/>
      <w:lang w:eastAsia="ja-JP"/>
    </w:rPr>
  </w:style>
  <w:style w:type="character" w:customStyle="1" w:styleId="HeaderChar">
    <w:name w:val="Header Char"/>
    <w:basedOn w:val="DefaultParagraphFont"/>
    <w:link w:val="Header"/>
    <w:rsid w:val="00127DAD"/>
    <w:rPr>
      <w:rFonts w:ascii="Arial" w:hAnsi="Arial" w:cs="Arial"/>
      <w:b/>
      <w:bCs/>
      <w:caps/>
      <w:sz w:val="22"/>
      <w:szCs w:val="22"/>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36DB-03C3-49E1-8148-B172B6EA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yabdelgh</dc:creator>
  <cp:lastModifiedBy>yabdelgh</cp:lastModifiedBy>
  <cp:revision>8</cp:revision>
  <cp:lastPrinted>2011-12-16T16:52:00Z</cp:lastPrinted>
  <dcterms:created xsi:type="dcterms:W3CDTF">2012-07-16T16:49:00Z</dcterms:created>
  <dcterms:modified xsi:type="dcterms:W3CDTF">2012-07-16T21:46:00Z</dcterms:modified>
</cp:coreProperties>
</file>